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DE" w:rsidRPr="00417D05" w:rsidRDefault="003F2FDE" w:rsidP="003F2FDE">
      <w:pPr>
        <w:spacing w:before="120" w:line="360" w:lineRule="auto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  <w:r w:rsidRPr="00417D05">
        <w:rPr>
          <w:rFonts w:ascii="Arial" w:hAnsi="Arial" w:cs="Arial"/>
          <w:b/>
          <w:iCs/>
          <w:sz w:val="24"/>
          <w:szCs w:val="24"/>
        </w:rPr>
        <w:t>1. IDENTIFICAÇÃO DO PRODUTO E DA EMPRESA</w:t>
      </w:r>
    </w:p>
    <w:p w:rsidR="003F2FDE" w:rsidRPr="00417D05" w:rsidRDefault="003F2FDE" w:rsidP="003F2FDE">
      <w:pPr>
        <w:spacing w:before="0" w:beforeAutospacing="0" w:after="0" w:line="240" w:lineRule="auto"/>
        <w:jc w:val="both"/>
        <w:rPr>
          <w:rFonts w:ascii="Arial" w:hAnsi="Arial" w:cs="Arial"/>
          <w:bCs/>
          <w:iCs/>
        </w:rPr>
      </w:pPr>
      <w:r w:rsidRPr="00417D05">
        <w:rPr>
          <w:rFonts w:ascii="Arial" w:hAnsi="Arial" w:cs="Arial"/>
          <w:b/>
        </w:rPr>
        <w:t>Nome do produto:</w:t>
      </w:r>
      <w:r w:rsidRPr="00417D05">
        <w:rPr>
          <w:rFonts w:ascii="Arial" w:hAnsi="Arial" w:cs="Arial"/>
        </w:rPr>
        <w:t xml:space="preserve"> </w:t>
      </w:r>
      <w:r w:rsidR="00225826">
        <w:rPr>
          <w:rFonts w:ascii="Arial" w:hAnsi="Arial" w:cs="Arial"/>
          <w:bCs/>
          <w:iCs/>
        </w:rPr>
        <w:t>Monoestearato de Glicerina</w:t>
      </w:r>
    </w:p>
    <w:p w:rsidR="003F2FDE" w:rsidRPr="00417D05" w:rsidRDefault="003F2FDE" w:rsidP="003F2FDE">
      <w:pPr>
        <w:spacing w:before="0" w:beforeAutospacing="0" w:after="0" w:line="240" w:lineRule="auto"/>
        <w:rPr>
          <w:rFonts w:ascii="Arial" w:hAnsi="Arial" w:cs="Arial"/>
        </w:rPr>
      </w:pPr>
      <w:r w:rsidRPr="00417D05">
        <w:rPr>
          <w:rFonts w:ascii="Arial" w:hAnsi="Arial" w:cs="Arial"/>
          <w:b/>
        </w:rPr>
        <w:t>Empresa:</w:t>
      </w:r>
      <w:r w:rsidRPr="00417D05">
        <w:rPr>
          <w:rFonts w:ascii="Arial" w:hAnsi="Arial" w:cs="Arial"/>
        </w:rPr>
        <w:t xml:space="preserve"> Additiv Ind. e Com.</w:t>
      </w:r>
    </w:p>
    <w:p w:rsidR="003F2FDE" w:rsidRPr="00417D05" w:rsidRDefault="003F2FDE" w:rsidP="003F2FDE">
      <w:pPr>
        <w:spacing w:before="0" w:beforeAutospacing="0" w:after="0" w:line="240" w:lineRule="auto"/>
        <w:rPr>
          <w:rFonts w:ascii="Arial" w:hAnsi="Arial" w:cs="Arial"/>
        </w:rPr>
      </w:pPr>
      <w:r w:rsidRPr="00417D05">
        <w:rPr>
          <w:rFonts w:ascii="Arial" w:hAnsi="Arial" w:cs="Arial"/>
          <w:b/>
        </w:rPr>
        <w:t>Endereço:</w:t>
      </w:r>
      <w:r w:rsidRPr="00417D05">
        <w:rPr>
          <w:rFonts w:ascii="Arial" w:hAnsi="Arial" w:cs="Arial"/>
        </w:rPr>
        <w:t xml:space="preserve"> Rua </w:t>
      </w:r>
      <w:proofErr w:type="spellStart"/>
      <w:r w:rsidRPr="00417D05">
        <w:rPr>
          <w:rFonts w:ascii="Arial" w:hAnsi="Arial" w:cs="Arial"/>
        </w:rPr>
        <w:t>Anézio</w:t>
      </w:r>
      <w:proofErr w:type="spellEnd"/>
      <w:r w:rsidRPr="00417D05">
        <w:rPr>
          <w:rFonts w:ascii="Arial" w:hAnsi="Arial" w:cs="Arial"/>
        </w:rPr>
        <w:t xml:space="preserve"> Ruivo, 414 </w:t>
      </w:r>
      <w:proofErr w:type="spellStart"/>
      <w:r w:rsidRPr="00417D05">
        <w:rPr>
          <w:rFonts w:ascii="Arial" w:hAnsi="Arial" w:cs="Arial"/>
        </w:rPr>
        <w:t>Armz</w:t>
      </w:r>
      <w:proofErr w:type="spellEnd"/>
      <w:r w:rsidRPr="00417D05">
        <w:rPr>
          <w:rFonts w:ascii="Arial" w:hAnsi="Arial" w:cs="Arial"/>
        </w:rPr>
        <w:t xml:space="preserve"> 01 – Jd. Bonsucesso – Guarulhos – SP</w:t>
      </w:r>
    </w:p>
    <w:p w:rsidR="003F2FDE" w:rsidRPr="00417D05" w:rsidRDefault="003F2FDE" w:rsidP="003F2FDE">
      <w:pPr>
        <w:pStyle w:val="Cabealho"/>
        <w:tabs>
          <w:tab w:val="left" w:pos="3544"/>
        </w:tabs>
        <w:spacing w:before="0" w:beforeAutospacing="0"/>
        <w:ind w:left="3827" w:hanging="3260"/>
        <w:rPr>
          <w:rFonts w:ascii="Arial" w:hAnsi="Arial" w:cs="Arial"/>
        </w:rPr>
      </w:pPr>
      <w:r w:rsidRPr="00417D05">
        <w:rPr>
          <w:rFonts w:ascii="Arial" w:hAnsi="Arial" w:cs="Arial"/>
          <w:b/>
        </w:rPr>
        <w:t>Corpo de Bombeiros:</w:t>
      </w:r>
      <w:r w:rsidRPr="00417D05">
        <w:rPr>
          <w:rFonts w:ascii="Arial" w:hAnsi="Arial" w:cs="Arial"/>
        </w:rPr>
        <w:t xml:space="preserve"> 193</w:t>
      </w:r>
    </w:p>
    <w:p w:rsidR="003F2FDE" w:rsidRPr="00417D05" w:rsidRDefault="003F2FDE" w:rsidP="003F2FDE">
      <w:pPr>
        <w:pStyle w:val="Cabealho"/>
        <w:tabs>
          <w:tab w:val="left" w:pos="3544"/>
        </w:tabs>
        <w:spacing w:before="0" w:beforeAutospacing="0"/>
        <w:ind w:left="3827" w:hanging="3260"/>
        <w:rPr>
          <w:rFonts w:ascii="Arial" w:hAnsi="Arial" w:cs="Arial"/>
        </w:rPr>
      </w:pPr>
      <w:r w:rsidRPr="00417D05">
        <w:rPr>
          <w:rFonts w:ascii="Arial" w:hAnsi="Arial" w:cs="Arial"/>
          <w:b/>
        </w:rPr>
        <w:t>Polícia Militar:</w:t>
      </w:r>
      <w:r w:rsidRPr="00417D05">
        <w:rPr>
          <w:rFonts w:ascii="Arial" w:hAnsi="Arial" w:cs="Arial"/>
        </w:rPr>
        <w:t xml:space="preserve"> 190</w:t>
      </w:r>
    </w:p>
    <w:p w:rsidR="003F2FDE" w:rsidRPr="00417D05" w:rsidRDefault="003F2FDE" w:rsidP="003F2FDE">
      <w:pPr>
        <w:spacing w:before="0" w:beforeAutospacing="0" w:after="0" w:line="240" w:lineRule="auto"/>
        <w:rPr>
          <w:rFonts w:ascii="Arial" w:hAnsi="Arial" w:cs="Arial"/>
        </w:rPr>
      </w:pPr>
    </w:p>
    <w:p w:rsidR="00540C1C" w:rsidRPr="00417D05" w:rsidRDefault="003F2FDE" w:rsidP="00540C1C">
      <w:pPr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iCs/>
          <w:sz w:val="24"/>
          <w:szCs w:val="24"/>
        </w:rPr>
        <w:t xml:space="preserve">2. </w:t>
      </w:r>
      <w:r w:rsidR="00540C1C" w:rsidRPr="00417D05">
        <w:rPr>
          <w:rFonts w:ascii="Arial" w:hAnsi="Arial" w:cs="Arial"/>
          <w:b/>
          <w:bCs/>
          <w:sz w:val="24"/>
          <w:szCs w:val="24"/>
        </w:rPr>
        <w:t>COMPOSIÇÃO E INFORMAÇÕES SOBRE OS INGREDIENTES</w:t>
      </w:r>
      <w:r w:rsidR="00540C1C" w:rsidRPr="00417D05">
        <w:rPr>
          <w:rFonts w:ascii="Arial" w:hAnsi="Arial" w:cs="Arial"/>
          <w:bCs/>
        </w:rPr>
        <w:t xml:space="preserve"> </w:t>
      </w:r>
    </w:p>
    <w:p w:rsidR="00540C1C" w:rsidRDefault="00540C1C" w:rsidP="00540C1C">
      <w:pPr>
        <w:spacing w:before="0" w:beforeAutospacing="0" w:after="0" w:line="240" w:lineRule="auto"/>
        <w:ind w:firstLine="705"/>
        <w:rPr>
          <w:rFonts w:ascii="Arial" w:hAnsi="Arial" w:cs="Arial"/>
        </w:rPr>
      </w:pPr>
      <w:r>
        <w:rPr>
          <w:rFonts w:ascii="Arial" w:hAnsi="Arial" w:cs="Arial"/>
        </w:rPr>
        <w:t>O produto químico ao qual se refere esta FISPQ é uma substância.</w:t>
      </w:r>
    </w:p>
    <w:p w:rsidR="00540C1C" w:rsidRDefault="00540C1C" w:rsidP="00540C1C">
      <w:pPr>
        <w:spacing w:before="0" w:beforeAutospacing="0"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químico comum: </w:t>
      </w:r>
      <w:r>
        <w:rPr>
          <w:rFonts w:ascii="Arial" w:hAnsi="Arial" w:cs="Arial"/>
        </w:rPr>
        <w:t>Monoestearato de Glicerina</w:t>
      </w:r>
    </w:p>
    <w:p w:rsidR="00540C1C" w:rsidRDefault="00540C1C" w:rsidP="00540C1C">
      <w:pPr>
        <w:spacing w:before="0" w:beforeAutospacing="0" w:after="0" w:line="240" w:lineRule="auto"/>
        <w:ind w:firstLine="705"/>
        <w:rPr>
          <w:rFonts w:ascii="Arial" w:hAnsi="Arial" w:cs="Arial"/>
        </w:rPr>
      </w:pPr>
      <w:r>
        <w:rPr>
          <w:rFonts w:ascii="Arial" w:hAnsi="Arial" w:cs="Arial"/>
          <w:b/>
        </w:rPr>
        <w:t>Ingredientes que contribuam para o perigo:</w:t>
      </w:r>
      <w:r>
        <w:rPr>
          <w:rFonts w:ascii="Arial" w:hAnsi="Arial" w:cs="Arial"/>
        </w:rPr>
        <w:t xml:space="preserve"> Não existem ingredientes que contribuam com o perigo.</w:t>
      </w:r>
    </w:p>
    <w:p w:rsidR="00540C1C" w:rsidRPr="00AA508C" w:rsidRDefault="00540C1C" w:rsidP="00540C1C">
      <w:pPr>
        <w:spacing w:before="0" w:beforeAutospacing="0" w:after="0" w:line="240" w:lineRule="auto"/>
        <w:ind w:firstLine="705"/>
        <w:rPr>
          <w:rFonts w:ascii="Arial" w:hAnsi="Arial" w:cs="Arial"/>
          <w:lang w:val="en-US"/>
        </w:rPr>
      </w:pPr>
      <w:r w:rsidRPr="00AA508C">
        <w:rPr>
          <w:rFonts w:ascii="Arial" w:hAnsi="Arial" w:cs="Arial"/>
          <w:b/>
          <w:lang w:val="en-US"/>
        </w:rPr>
        <w:t>INCI NAME:</w:t>
      </w:r>
      <w:r w:rsidRPr="00AA508C">
        <w:rPr>
          <w:rFonts w:ascii="Arial" w:hAnsi="Arial" w:cs="Arial"/>
          <w:lang w:val="en-US"/>
        </w:rPr>
        <w:t xml:space="preserve"> Glyceryl Stearate / Glyceryl Monostearate</w:t>
      </w:r>
    </w:p>
    <w:p w:rsidR="00540C1C" w:rsidRPr="00225826" w:rsidRDefault="00540C1C" w:rsidP="00540C1C">
      <w:pPr>
        <w:spacing w:before="0" w:beforeAutospacing="0" w:after="0" w:line="240" w:lineRule="auto"/>
        <w:ind w:firstLine="705"/>
        <w:rPr>
          <w:rFonts w:ascii="Arial" w:hAnsi="Arial" w:cs="Arial"/>
        </w:rPr>
      </w:pPr>
      <w:r w:rsidRPr="00225826">
        <w:rPr>
          <w:rFonts w:ascii="Arial" w:hAnsi="Arial" w:cs="Arial"/>
          <w:b/>
        </w:rPr>
        <w:t>CAS NUMBER:</w:t>
      </w:r>
      <w:r w:rsidRPr="00225826">
        <w:rPr>
          <w:rFonts w:ascii="Arial" w:hAnsi="Arial" w:cs="Arial"/>
        </w:rPr>
        <w:t xml:space="preserve"> 31566-31-1 / 123-94-4</w:t>
      </w:r>
    </w:p>
    <w:p w:rsidR="00540C1C" w:rsidRPr="00225826" w:rsidRDefault="00540C1C" w:rsidP="00540C1C">
      <w:pPr>
        <w:spacing w:before="0" w:beforeAutospacing="0" w:after="0" w:line="240" w:lineRule="auto"/>
        <w:ind w:firstLine="705"/>
        <w:rPr>
          <w:rFonts w:ascii="Arial" w:hAnsi="Arial" w:cs="Arial"/>
        </w:rPr>
      </w:pPr>
      <w:r w:rsidRPr="00225826">
        <w:rPr>
          <w:rFonts w:ascii="Arial" w:hAnsi="Arial" w:cs="Arial"/>
          <w:b/>
        </w:rPr>
        <w:t>EINECS:</w:t>
      </w:r>
      <w:r w:rsidRPr="00225826">
        <w:rPr>
          <w:rFonts w:ascii="Arial" w:hAnsi="Arial" w:cs="Arial"/>
        </w:rPr>
        <w:t xml:space="preserve"> 250-705-4</w:t>
      </w:r>
    </w:p>
    <w:p w:rsidR="003F2FDE" w:rsidRPr="00417D05" w:rsidRDefault="003F2FDE" w:rsidP="003F2FDE">
      <w:pPr>
        <w:rPr>
          <w:rFonts w:ascii="Arial" w:hAnsi="Arial" w:cs="Arial"/>
          <w:b/>
          <w:bCs/>
          <w:iCs/>
        </w:rPr>
      </w:pPr>
    </w:p>
    <w:p w:rsidR="00540C1C" w:rsidRPr="00417D05" w:rsidRDefault="003F2FDE" w:rsidP="00540C1C">
      <w:pPr>
        <w:spacing w:before="120" w:line="360" w:lineRule="auto"/>
        <w:rPr>
          <w:rFonts w:ascii="Arial" w:hAnsi="Arial" w:cs="Arial"/>
          <w:b/>
          <w:iCs/>
          <w:sz w:val="24"/>
          <w:szCs w:val="24"/>
        </w:rPr>
      </w:pPr>
      <w:r w:rsidRPr="00417D05">
        <w:rPr>
          <w:rFonts w:ascii="Arial" w:hAnsi="Arial" w:cs="Arial"/>
          <w:b/>
          <w:bCs/>
        </w:rPr>
        <w:t xml:space="preserve">3. </w:t>
      </w:r>
      <w:r w:rsidR="00540C1C" w:rsidRPr="00417D05">
        <w:rPr>
          <w:rFonts w:ascii="Arial" w:hAnsi="Arial" w:cs="Arial"/>
          <w:b/>
          <w:iCs/>
          <w:sz w:val="24"/>
          <w:szCs w:val="24"/>
        </w:rPr>
        <w:t>IDENTIFICAÇÃO DOS PERIGOS</w:t>
      </w:r>
    </w:p>
    <w:p w:rsidR="00540C1C" w:rsidRPr="00540C1C" w:rsidRDefault="00540C1C" w:rsidP="00540C1C">
      <w:pPr>
        <w:pStyle w:val="Default"/>
        <w:rPr>
          <w:sz w:val="22"/>
          <w:szCs w:val="22"/>
        </w:rPr>
      </w:pPr>
    </w:p>
    <w:p w:rsidR="00540C1C" w:rsidRPr="00540C1C" w:rsidRDefault="00540C1C" w:rsidP="00540C1C">
      <w:pPr>
        <w:rPr>
          <w:rFonts w:ascii="Arial" w:hAnsi="Arial" w:cs="Arial"/>
        </w:rPr>
      </w:pPr>
      <w:r w:rsidRPr="00540C1C">
        <w:rPr>
          <w:rFonts w:ascii="Arial" w:hAnsi="Arial" w:cs="Arial"/>
        </w:rPr>
        <w:t xml:space="preserve"> </w:t>
      </w:r>
      <w:r w:rsidRPr="00540C1C">
        <w:rPr>
          <w:rFonts w:ascii="Arial" w:hAnsi="Arial" w:cs="Arial"/>
          <w:b/>
          <w:bCs/>
        </w:rPr>
        <w:t xml:space="preserve">Perigos mais importantes: </w:t>
      </w:r>
      <w:r w:rsidRPr="00540C1C">
        <w:rPr>
          <w:rFonts w:ascii="Arial" w:hAnsi="Arial" w:cs="Arial"/>
        </w:rPr>
        <w:t xml:space="preserve">O Monoestearato de Glicerina não é considerado um produto perigoso. Não causa irritação a pele e olhos. Deve-se tomar precauções quando o produto estiver aquecido para evitar queimaduras. </w:t>
      </w:r>
    </w:p>
    <w:p w:rsidR="00540C1C" w:rsidRPr="00540C1C" w:rsidRDefault="00540C1C" w:rsidP="00540C1C">
      <w:pPr>
        <w:rPr>
          <w:rFonts w:ascii="Arial" w:hAnsi="Arial" w:cs="Arial"/>
        </w:rPr>
      </w:pPr>
      <w:r w:rsidRPr="00540C1C">
        <w:rPr>
          <w:rFonts w:ascii="Arial" w:hAnsi="Arial" w:cs="Arial"/>
          <w:b/>
          <w:bCs/>
        </w:rPr>
        <w:t xml:space="preserve">Efeitos adversos à saúde humana: </w:t>
      </w:r>
      <w:r w:rsidRPr="00540C1C">
        <w:rPr>
          <w:rFonts w:ascii="Arial" w:hAnsi="Arial" w:cs="Arial"/>
        </w:rPr>
        <w:t xml:space="preserve">Produto não tóxico. Pode causar vômitos ou </w:t>
      </w:r>
      <w:proofErr w:type="spellStart"/>
      <w:r w:rsidRPr="00540C1C">
        <w:rPr>
          <w:rFonts w:ascii="Arial" w:hAnsi="Arial" w:cs="Arial"/>
        </w:rPr>
        <w:t>diarréias</w:t>
      </w:r>
      <w:proofErr w:type="spellEnd"/>
      <w:r w:rsidRPr="00540C1C">
        <w:rPr>
          <w:rFonts w:ascii="Arial" w:hAnsi="Arial" w:cs="Arial"/>
        </w:rPr>
        <w:t xml:space="preserve"> e ingerido.</w:t>
      </w:r>
    </w:p>
    <w:p w:rsidR="00540C1C" w:rsidRPr="00540C1C" w:rsidRDefault="00540C1C" w:rsidP="00540C1C">
      <w:pPr>
        <w:rPr>
          <w:rFonts w:ascii="Arial" w:hAnsi="Arial" w:cs="Arial"/>
        </w:rPr>
      </w:pPr>
      <w:r w:rsidRPr="00540C1C">
        <w:rPr>
          <w:rFonts w:ascii="Arial" w:hAnsi="Arial" w:cs="Arial"/>
        </w:rPr>
        <w:t xml:space="preserve"> </w:t>
      </w:r>
      <w:r w:rsidRPr="00540C1C">
        <w:rPr>
          <w:rFonts w:ascii="Arial" w:hAnsi="Arial" w:cs="Arial"/>
          <w:b/>
          <w:bCs/>
        </w:rPr>
        <w:t xml:space="preserve">Efeitos físicos e químicos: </w:t>
      </w:r>
      <w:r w:rsidRPr="00540C1C">
        <w:rPr>
          <w:rFonts w:ascii="Arial" w:hAnsi="Arial" w:cs="Arial"/>
        </w:rPr>
        <w:t xml:space="preserve">Produto inflamável a temperatura superior a 196°C. </w:t>
      </w:r>
    </w:p>
    <w:p w:rsidR="00225826" w:rsidRPr="00540C1C" w:rsidRDefault="00540C1C" w:rsidP="00540C1C">
      <w:pPr>
        <w:rPr>
          <w:rFonts w:ascii="Arial" w:hAnsi="Arial" w:cs="Arial"/>
        </w:rPr>
      </w:pPr>
      <w:r w:rsidRPr="00540C1C">
        <w:rPr>
          <w:rFonts w:ascii="Arial" w:hAnsi="Arial" w:cs="Arial"/>
          <w:b/>
          <w:bCs/>
        </w:rPr>
        <w:t xml:space="preserve">Perigos específicos: </w:t>
      </w:r>
      <w:r w:rsidRPr="00540C1C">
        <w:rPr>
          <w:rFonts w:ascii="Arial" w:hAnsi="Arial" w:cs="Arial"/>
        </w:rPr>
        <w:t xml:space="preserve">Os perigos específicos do sebo hidrogenado são os listados nos subtítulos acima. </w:t>
      </w:r>
      <w:r w:rsidRPr="00540C1C">
        <w:rPr>
          <w:rFonts w:ascii="Arial" w:hAnsi="Arial" w:cs="Arial"/>
          <w:b/>
          <w:bCs/>
        </w:rPr>
        <w:t xml:space="preserve">Principais sintomas: </w:t>
      </w:r>
      <w:r w:rsidRPr="00540C1C">
        <w:rPr>
          <w:rFonts w:ascii="Arial" w:hAnsi="Arial" w:cs="Arial"/>
        </w:rPr>
        <w:t xml:space="preserve">Em caso de ingestão de pequena quantidade pode causar vômito ou </w:t>
      </w:r>
      <w:proofErr w:type="spellStart"/>
      <w:r w:rsidRPr="00540C1C">
        <w:rPr>
          <w:rFonts w:ascii="Arial" w:hAnsi="Arial" w:cs="Arial"/>
        </w:rPr>
        <w:t>diarréia</w:t>
      </w:r>
      <w:proofErr w:type="spellEnd"/>
      <w:r w:rsidRPr="00540C1C">
        <w:rPr>
          <w:rFonts w:ascii="Arial" w:hAnsi="Arial" w:cs="Arial"/>
        </w:rPr>
        <w:t>.</w:t>
      </w:r>
    </w:p>
    <w:p w:rsidR="003F2FDE" w:rsidRPr="00417D05" w:rsidRDefault="003F2FDE" w:rsidP="003F2FDE">
      <w:pPr>
        <w:rPr>
          <w:rFonts w:ascii="Arial" w:hAnsi="Arial" w:cs="Arial"/>
        </w:rPr>
      </w:pPr>
    </w:p>
    <w:p w:rsidR="003F2FDE" w:rsidRPr="00417D05" w:rsidRDefault="003F2FDE" w:rsidP="003F2FDE">
      <w:pPr>
        <w:rPr>
          <w:rFonts w:ascii="Arial" w:hAnsi="Arial" w:cs="Arial"/>
          <w:b/>
          <w:bCs/>
          <w:sz w:val="24"/>
          <w:szCs w:val="24"/>
        </w:rPr>
      </w:pPr>
      <w:r w:rsidRPr="00417D05">
        <w:rPr>
          <w:rFonts w:ascii="Arial" w:hAnsi="Arial" w:cs="Arial"/>
          <w:b/>
          <w:bCs/>
          <w:sz w:val="24"/>
          <w:szCs w:val="24"/>
        </w:rPr>
        <w:t>4. MEDIDAS DE PRIMEIROS SOCORROS</w:t>
      </w:r>
    </w:p>
    <w:p w:rsidR="003F2FDE" w:rsidRPr="00417D05" w:rsidRDefault="003F2FDE" w:rsidP="00133507">
      <w:pPr>
        <w:spacing w:before="0" w:beforeAutospacing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Inalação: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caso de asfixia, retirar-se para um local arejado, livre do pó; produto não tóxico.</w:t>
      </w:r>
    </w:p>
    <w:p w:rsidR="003F2FDE" w:rsidRPr="00417D05" w:rsidRDefault="003F2FDE" w:rsidP="00133507">
      <w:pPr>
        <w:spacing w:before="0" w:beforeAutospacing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lastRenderedPageBreak/>
        <w:t>Contato com a pele: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caso de irritação, lavar com água corrente o local afetado, se a irritação persistir, procurar orientação médica.</w:t>
      </w:r>
    </w:p>
    <w:p w:rsidR="003F2FDE" w:rsidRPr="00417D05" w:rsidRDefault="003F2FDE" w:rsidP="00133507">
      <w:pPr>
        <w:spacing w:before="0" w:beforeAutospacing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Contato com os olhos: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caso de irritação, lavar com água corrente, se a irritação persistir, procurar orientação médica.</w:t>
      </w:r>
    </w:p>
    <w:p w:rsidR="003F2FDE" w:rsidRPr="00417D05" w:rsidRDefault="003F2FDE" w:rsidP="00133507">
      <w:pPr>
        <w:spacing w:before="0" w:beforeAutospacing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Ingestão</w:t>
      </w:r>
      <w:r w:rsidRPr="00417D05">
        <w:rPr>
          <w:rFonts w:ascii="Arial" w:hAnsi="Arial" w:cs="Arial"/>
          <w:bCs/>
        </w:rPr>
        <w:t xml:space="preserve">: </w:t>
      </w:r>
      <w:r w:rsidRPr="00417D05">
        <w:rPr>
          <w:rFonts w:ascii="Arial" w:hAnsi="Arial" w:cs="Arial"/>
        </w:rPr>
        <w:t>Ingerir água em grandes quantidades e procurar orientação médica imediatamente.</w:t>
      </w:r>
    </w:p>
    <w:p w:rsidR="003F2FDE" w:rsidRPr="00417D05" w:rsidRDefault="003F2FDE" w:rsidP="00133507">
      <w:pPr>
        <w:spacing w:before="0" w:beforeAutospacing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Nota ao médico: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há antídoto específico.</w:t>
      </w:r>
    </w:p>
    <w:p w:rsidR="003F2FDE" w:rsidRPr="00417D05" w:rsidRDefault="003F2FDE" w:rsidP="003F2FDE">
      <w:pPr>
        <w:rPr>
          <w:rFonts w:ascii="Arial" w:hAnsi="Arial" w:cs="Arial"/>
        </w:rPr>
      </w:pPr>
    </w:p>
    <w:p w:rsidR="003F2FDE" w:rsidRPr="00417D05" w:rsidRDefault="003F2FDE" w:rsidP="003F2FDE">
      <w:pPr>
        <w:rPr>
          <w:rFonts w:ascii="Arial" w:hAnsi="Arial" w:cs="Arial"/>
          <w:b/>
          <w:bCs/>
          <w:sz w:val="24"/>
          <w:szCs w:val="24"/>
        </w:rPr>
      </w:pPr>
      <w:r w:rsidRPr="00417D05">
        <w:rPr>
          <w:rFonts w:ascii="Arial" w:hAnsi="Arial" w:cs="Arial"/>
          <w:b/>
          <w:bCs/>
          <w:sz w:val="24"/>
          <w:szCs w:val="24"/>
        </w:rPr>
        <w:t>5. MEDIDAS DE COMBATE AO INCENDIO</w:t>
      </w:r>
    </w:p>
    <w:p w:rsidR="00540C1C" w:rsidRDefault="00540C1C" w:rsidP="00540C1C">
      <w:pPr>
        <w:suppressAutoHyphens w:val="0"/>
        <w:autoSpaceDE w:val="0"/>
        <w:autoSpaceDN w:val="0"/>
        <w:adjustRightInd w:val="0"/>
        <w:spacing w:before="0" w:beforeAutospacing="0" w:after="13" w:line="240" w:lineRule="auto"/>
        <w:rPr>
          <w:rFonts w:ascii="Arial" w:eastAsiaTheme="minorHAnsi" w:hAnsi="Arial" w:cs="Arial"/>
          <w:color w:val="000000"/>
          <w:lang w:eastAsia="en-US"/>
        </w:rPr>
      </w:pPr>
      <w:r w:rsidRPr="00540C1C">
        <w:rPr>
          <w:rFonts w:ascii="Times New Roman" w:eastAsiaTheme="minorHAnsi" w:hAnsi="Times New Roman" w:cs="Times New Roman"/>
          <w:b/>
          <w:bCs/>
          <w:i/>
          <w:iCs/>
          <w:color w:val="000000"/>
          <w:lang w:eastAsia="en-US"/>
        </w:rPr>
        <w:t xml:space="preserve"> </w:t>
      </w:r>
      <w:r w:rsidRPr="00540C1C">
        <w:rPr>
          <w:rFonts w:ascii="Arial" w:eastAsiaTheme="minorHAnsi" w:hAnsi="Arial" w:cs="Arial"/>
          <w:b/>
          <w:bCs/>
          <w:color w:val="000000"/>
          <w:lang w:eastAsia="en-US"/>
        </w:rPr>
        <w:t xml:space="preserve">Meios de extinção apropriados: </w:t>
      </w:r>
      <w:r w:rsidRPr="00540C1C">
        <w:rPr>
          <w:rFonts w:ascii="Arial" w:eastAsiaTheme="minorHAnsi" w:hAnsi="Arial" w:cs="Arial"/>
          <w:color w:val="000000"/>
          <w:lang w:eastAsia="en-US"/>
        </w:rPr>
        <w:t xml:space="preserve">Extinção por pó químico ou água. </w:t>
      </w:r>
    </w:p>
    <w:p w:rsidR="00540C1C" w:rsidRPr="00540C1C" w:rsidRDefault="00540C1C" w:rsidP="00540C1C">
      <w:pPr>
        <w:suppressAutoHyphens w:val="0"/>
        <w:autoSpaceDE w:val="0"/>
        <w:autoSpaceDN w:val="0"/>
        <w:adjustRightInd w:val="0"/>
        <w:spacing w:before="0" w:beforeAutospacing="0" w:after="13" w:line="240" w:lineRule="auto"/>
        <w:rPr>
          <w:rFonts w:ascii="Arial" w:eastAsiaTheme="minorHAnsi" w:hAnsi="Arial" w:cs="Arial"/>
          <w:color w:val="000000"/>
          <w:lang w:eastAsia="en-US"/>
        </w:rPr>
      </w:pPr>
      <w:r w:rsidRPr="00540C1C">
        <w:rPr>
          <w:rFonts w:ascii="Arial" w:eastAsiaTheme="minorHAnsi" w:hAnsi="Arial" w:cs="Arial"/>
          <w:b/>
          <w:bCs/>
          <w:color w:val="000000"/>
          <w:lang w:eastAsia="en-US"/>
        </w:rPr>
        <w:t xml:space="preserve">Métodos especiais: </w:t>
      </w:r>
      <w:r w:rsidRPr="00540C1C">
        <w:rPr>
          <w:rFonts w:ascii="Arial" w:eastAsiaTheme="minorHAnsi" w:hAnsi="Arial" w:cs="Arial"/>
          <w:color w:val="000000"/>
          <w:lang w:eastAsia="en-US"/>
        </w:rPr>
        <w:t xml:space="preserve">Em caso de incêndio, resfriar o recipiente com neblina de água. </w:t>
      </w:r>
    </w:p>
    <w:p w:rsidR="00540C1C" w:rsidRPr="00540C1C" w:rsidRDefault="00540C1C" w:rsidP="00540C1C">
      <w:pPr>
        <w:suppressAutoHyphens w:val="0"/>
        <w:autoSpaceDE w:val="0"/>
        <w:autoSpaceDN w:val="0"/>
        <w:adjustRightInd w:val="0"/>
        <w:spacing w:before="0" w:beforeAutospacing="0"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540C1C">
        <w:rPr>
          <w:rFonts w:ascii="Times New Roman" w:eastAsiaTheme="minorHAnsi" w:hAnsi="Times New Roman" w:cs="Times New Roman"/>
          <w:b/>
          <w:bCs/>
          <w:i/>
          <w:iCs/>
          <w:color w:val="000000"/>
          <w:lang w:eastAsia="en-US"/>
        </w:rPr>
        <w:t xml:space="preserve"> </w:t>
      </w:r>
      <w:r w:rsidRPr="00540C1C">
        <w:rPr>
          <w:rFonts w:ascii="Arial" w:eastAsiaTheme="minorHAnsi" w:hAnsi="Arial" w:cs="Arial"/>
          <w:b/>
          <w:bCs/>
          <w:color w:val="000000"/>
          <w:lang w:eastAsia="en-US"/>
        </w:rPr>
        <w:t xml:space="preserve">Proteção dos bombeiros: </w:t>
      </w:r>
      <w:r w:rsidRPr="00540C1C">
        <w:rPr>
          <w:rFonts w:ascii="Arial" w:eastAsiaTheme="minorHAnsi" w:hAnsi="Arial" w:cs="Arial"/>
          <w:color w:val="000000"/>
          <w:lang w:eastAsia="en-US"/>
        </w:rPr>
        <w:t xml:space="preserve">Durante o combate usar proteção completa para o fogo e mascara individual. </w:t>
      </w:r>
    </w:p>
    <w:p w:rsidR="003F2FDE" w:rsidRPr="00417D05" w:rsidRDefault="003F2FDE" w:rsidP="003F2FDE">
      <w:pPr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6. MEDIDAS DE CONTROLE PARA DERRAMAMENTO OU VAZAMENTO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Precauções especiais: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O piso poderá estar escorregadio. Tome cuidado para evitar quedas.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bCs/>
        </w:rPr>
        <w:t>Precauções ao meio ambiente:</w:t>
      </w:r>
      <w:r w:rsidRPr="00417D05">
        <w:rPr>
          <w:rFonts w:ascii="Arial" w:hAnsi="Arial" w:cs="Arial"/>
          <w:bCs/>
        </w:rPr>
        <w:t xml:space="preserve"> O produto não é classificado como sendo um perigo ao meio ambiente devido ter baixa toxidade e ser completamente biodegradável. Em contato com água, separação com decantação é geralmente suficiente, devido à insolubilidade em água.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bCs/>
        </w:rPr>
        <w:t>Métodos para remoção e limpeza: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 xml:space="preserve">Conter o produto com materiais inertes (por exemplo, areia, terra, </w:t>
      </w:r>
      <w:proofErr w:type="spellStart"/>
      <w:r w:rsidRPr="00417D05">
        <w:rPr>
          <w:rFonts w:ascii="Arial" w:hAnsi="Arial" w:cs="Arial"/>
        </w:rPr>
        <w:t>etc</w:t>
      </w:r>
      <w:proofErr w:type="spellEnd"/>
      <w:r w:rsidRPr="00417D05">
        <w:rPr>
          <w:rFonts w:ascii="Arial" w:hAnsi="Arial" w:cs="Arial"/>
        </w:rPr>
        <w:t>). O produto deve ser coletado por varredura em recipientes próprios para descarte e/ou recuperação. Lavar a área com água e sabão.</w:t>
      </w:r>
      <w:r w:rsidRPr="00417D05">
        <w:rPr>
          <w:rFonts w:ascii="Arial" w:hAnsi="Arial" w:cs="Arial"/>
          <w:bCs/>
        </w:rPr>
        <w:t xml:space="preserve"> </w:t>
      </w:r>
    </w:p>
    <w:p w:rsidR="003F2FDE" w:rsidRPr="00417D05" w:rsidRDefault="003F2FDE" w:rsidP="003F2FDE">
      <w:pPr>
        <w:rPr>
          <w:rFonts w:ascii="Arial" w:hAnsi="Arial" w:cs="Arial"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7. MANUSEIO E ARMAZENAMENTO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Manuseio Precauções: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No transporte a granel, deve ter cuidado devido o produto ser transportado quente. (</w:t>
      </w:r>
      <w:proofErr w:type="spellStart"/>
      <w:r w:rsidRPr="00417D05">
        <w:rPr>
          <w:rFonts w:ascii="Arial" w:hAnsi="Arial" w:cs="Arial"/>
        </w:rPr>
        <w:t>Máx</w:t>
      </w:r>
      <w:proofErr w:type="spellEnd"/>
      <w:r w:rsidRPr="00417D05">
        <w:rPr>
          <w:rFonts w:ascii="Arial" w:hAnsi="Arial" w:cs="Arial"/>
        </w:rPr>
        <w:t xml:space="preserve"> 90</w:t>
      </w:r>
      <w:proofErr w:type="gramStart"/>
      <w:r w:rsidRPr="00417D05">
        <w:rPr>
          <w:rFonts w:ascii="Arial" w:hAnsi="Arial" w:cs="Arial"/>
        </w:rPr>
        <w:t>ºC )</w:t>
      </w:r>
      <w:proofErr w:type="gramEnd"/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Recomendações para o manuseio seguro: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É recomendado o uso de luvas de PVC e óculos de proteção.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Estocagem Medidas Técnicas: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Há restrições.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bCs/>
        </w:rPr>
        <w:t>Condições necessárias de estocagem:</w:t>
      </w:r>
      <w:r w:rsidRPr="00417D05">
        <w:rPr>
          <w:rFonts w:ascii="Arial" w:hAnsi="Arial" w:cs="Arial"/>
          <w:bCs/>
        </w:rPr>
        <w:t xml:space="preserve"> A granel, deve ser estocado em tanques de aço inox ou carbono revestido internamente por resina </w:t>
      </w:r>
      <w:proofErr w:type="spellStart"/>
      <w:r w:rsidRPr="00417D05">
        <w:rPr>
          <w:rFonts w:ascii="Arial" w:hAnsi="Arial" w:cs="Arial"/>
          <w:bCs/>
        </w:rPr>
        <w:t>epox</w:t>
      </w:r>
      <w:proofErr w:type="spellEnd"/>
      <w:r w:rsidRPr="00417D05">
        <w:rPr>
          <w:rFonts w:ascii="Arial" w:hAnsi="Arial" w:cs="Arial"/>
          <w:bCs/>
        </w:rPr>
        <w:t xml:space="preserve"> de grau alimentício, em uma temperatura não maior do que 15 ºC do ponto de fusão isento de luz e oxigênio.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  <w:bCs/>
        </w:rPr>
      </w:pPr>
      <w:r w:rsidRPr="00417D05">
        <w:rPr>
          <w:rFonts w:ascii="Arial" w:hAnsi="Arial" w:cs="Arial"/>
          <w:bCs/>
        </w:rPr>
        <w:t xml:space="preserve">Em sacos, deve ser estocado em </w:t>
      </w:r>
      <w:proofErr w:type="spellStart"/>
      <w:r w:rsidRPr="00417D05">
        <w:rPr>
          <w:rFonts w:ascii="Arial" w:hAnsi="Arial" w:cs="Arial"/>
          <w:bCs/>
        </w:rPr>
        <w:t>pallet's</w:t>
      </w:r>
      <w:proofErr w:type="spellEnd"/>
      <w:r w:rsidRPr="00417D05">
        <w:rPr>
          <w:rFonts w:ascii="Arial" w:hAnsi="Arial" w:cs="Arial"/>
          <w:bCs/>
        </w:rPr>
        <w:t>, 4 sacos por camada, 10 de alto, em ambiente seco, limpo, protegidos de luz e calor.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lastRenderedPageBreak/>
        <w:t>Produtos Incompatíveis: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A granel, não manter um contato prolongado do produto com o oxigênio; pode ocorrer reversão na cor.</w:t>
      </w:r>
    </w:p>
    <w:p w:rsidR="003F2FDE" w:rsidRPr="00417D05" w:rsidRDefault="003F2FDE" w:rsidP="003F2FDE">
      <w:pPr>
        <w:rPr>
          <w:rFonts w:ascii="Arial" w:hAnsi="Arial" w:cs="Arial"/>
          <w:b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8. CONTROLE DE EXPOSIÇÃO E PROTEÇÃO INDIVIDUAL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Limites de exposição: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Nenhum estabelecido.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Tipo de ventilação: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Natural.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Proteção respiratória: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escamas, usar máscara contra pó.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Proteção ocular: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atividades de risco, usar óculos de proteção ou protetor facial contra respingos.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Proteção contra fogo e explosões: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Evitar temperaturas acima de 200ºC.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Luvas de proteção: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Impermeáveis.</w:t>
      </w:r>
    </w:p>
    <w:p w:rsidR="003F2FDE" w:rsidRPr="00417D05" w:rsidRDefault="003F2FDE" w:rsidP="00133507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Outros equipamentos de proteção: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Chuveiro de emergência e lava-olhos devem estar sempre disponíveis.</w:t>
      </w:r>
    </w:p>
    <w:p w:rsidR="003F2FDE" w:rsidRPr="00417D05" w:rsidRDefault="003F2FDE" w:rsidP="003F2FDE">
      <w:pPr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9. PROPRIEDADES FÍSICO-QUÍMICAS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Aspecto:</w:t>
      </w:r>
      <w:r w:rsidRPr="00417D05">
        <w:rPr>
          <w:rFonts w:ascii="Arial" w:hAnsi="Arial" w:cs="Arial"/>
          <w:bCs/>
        </w:rPr>
        <w:t xml:space="preserve"> (25ºC) </w:t>
      </w:r>
      <w:r w:rsidRPr="00417D05">
        <w:rPr>
          <w:rFonts w:ascii="Arial" w:hAnsi="Arial" w:cs="Arial"/>
        </w:rPr>
        <w:t>Escamas brancas.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Odor: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Característico.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Sabor: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Característico.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Ponto de ebulição: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Dado não disponível.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Ponto de Fusão:</w:t>
      </w:r>
      <w:r w:rsidRPr="00417D05">
        <w:rPr>
          <w:rFonts w:ascii="Arial" w:hAnsi="Arial" w:cs="Arial"/>
          <w:bCs/>
        </w:rPr>
        <w:t xml:space="preserve"> </w:t>
      </w:r>
      <w:r w:rsidR="006C2C9B">
        <w:rPr>
          <w:rFonts w:ascii="Arial" w:hAnsi="Arial" w:cs="Arial"/>
        </w:rPr>
        <w:t>&gt; 54</w:t>
      </w:r>
      <w:r w:rsidRPr="00417D05">
        <w:rPr>
          <w:rFonts w:ascii="Arial" w:hAnsi="Arial" w:cs="Arial"/>
        </w:rPr>
        <w:t xml:space="preserve"> ºC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Densidade:</w:t>
      </w:r>
      <w:r w:rsidRPr="00417D05">
        <w:rPr>
          <w:rFonts w:ascii="Arial" w:hAnsi="Arial" w:cs="Arial"/>
          <w:bCs/>
        </w:rPr>
        <w:t xml:space="preserve"> (20ºC) </w:t>
      </w:r>
      <w:r w:rsidRPr="00417D05">
        <w:rPr>
          <w:rFonts w:ascii="Arial" w:hAnsi="Arial" w:cs="Arial"/>
        </w:rPr>
        <w:t>Dado não estabelecido.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Pressão de Vapor: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Dado não disponível.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Viscosidade (25ºC):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Dado não disponível.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pH: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Dado não estabelecido.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Solubilidade em água: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Insolúvel.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Ponto de fulgor: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Maior que 200ºC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 xml:space="preserve">Temperatura de </w:t>
      </w:r>
      <w:proofErr w:type="spellStart"/>
      <w:r w:rsidRPr="00417D05">
        <w:rPr>
          <w:rFonts w:ascii="Arial" w:hAnsi="Arial" w:cs="Arial"/>
          <w:b/>
          <w:bCs/>
        </w:rPr>
        <w:t>auto-ignição</w:t>
      </w:r>
      <w:proofErr w:type="spellEnd"/>
      <w:r w:rsidRPr="00417D05">
        <w:rPr>
          <w:rFonts w:ascii="Arial" w:hAnsi="Arial" w:cs="Arial"/>
          <w:b/>
          <w:bCs/>
        </w:rPr>
        <w:t>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Dado não disponível.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Limite Inferior de inflamabilidade: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determinado.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Limite Superior de inflamabilidade: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determinado.</w:t>
      </w: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10. ESTABILIDADE E REATIVIDADE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Estabilidade: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 xml:space="preserve">O material é estável nas condições de armazenamento descritas no </w:t>
      </w:r>
      <w:r w:rsidR="003A5833" w:rsidRPr="00417D05">
        <w:rPr>
          <w:rFonts w:ascii="Arial" w:hAnsi="Arial" w:cs="Arial"/>
        </w:rPr>
        <w:t>i</w:t>
      </w:r>
      <w:r w:rsidRPr="00417D05">
        <w:rPr>
          <w:rFonts w:ascii="Arial" w:hAnsi="Arial" w:cs="Arial"/>
        </w:rPr>
        <w:t>tem 7.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Possíveis reações perigosas: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há restrições.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Produtos Perigosos na decomposição: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há restrições.</w:t>
      </w:r>
    </w:p>
    <w:p w:rsidR="003F2FDE" w:rsidRPr="00417D05" w:rsidRDefault="003F2FDE" w:rsidP="003F2FDE">
      <w:pPr>
        <w:pStyle w:val="Cabealho"/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pStyle w:val="Cabealho"/>
        <w:rPr>
          <w:rFonts w:ascii="Arial" w:hAnsi="Arial" w:cs="Arial"/>
          <w:b/>
          <w:bCs/>
          <w:iCs/>
          <w:sz w:val="24"/>
          <w:szCs w:val="24"/>
        </w:rPr>
      </w:pPr>
      <w:r w:rsidRPr="00417D05">
        <w:rPr>
          <w:rFonts w:ascii="Arial" w:hAnsi="Arial" w:cs="Arial"/>
          <w:b/>
          <w:bCs/>
          <w:iCs/>
          <w:sz w:val="24"/>
          <w:szCs w:val="24"/>
        </w:rPr>
        <w:t>11. INFORMAÇÕES TOXICOLÓGICAS</w:t>
      </w:r>
    </w:p>
    <w:p w:rsidR="003F2FDE" w:rsidRPr="00417D05" w:rsidRDefault="003F2FDE" w:rsidP="003F2FDE">
      <w:pPr>
        <w:rPr>
          <w:rFonts w:ascii="Arial" w:hAnsi="Arial" w:cs="Arial"/>
        </w:rPr>
      </w:pPr>
    </w:p>
    <w:p w:rsidR="003F2FDE" w:rsidRPr="00417D05" w:rsidRDefault="003F2FDE" w:rsidP="00F33D72">
      <w:pPr>
        <w:spacing w:after="0"/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bCs/>
        </w:rPr>
        <w:t>Toxidade:</w:t>
      </w:r>
      <w:r w:rsidRPr="00417D05">
        <w:rPr>
          <w:rFonts w:ascii="Arial" w:hAnsi="Arial" w:cs="Arial"/>
          <w:bCs/>
        </w:rPr>
        <w:t xml:space="preserve"> Produto não tóxico.</w:t>
      </w:r>
    </w:p>
    <w:p w:rsidR="003F2FDE" w:rsidRPr="00417D05" w:rsidRDefault="003F2FDE" w:rsidP="00F33D72">
      <w:pPr>
        <w:spacing w:after="0"/>
        <w:rPr>
          <w:rFonts w:ascii="Arial" w:hAnsi="Arial" w:cs="Arial"/>
          <w:b/>
          <w:bCs/>
        </w:rPr>
      </w:pPr>
      <w:r w:rsidRPr="00417D05">
        <w:rPr>
          <w:rFonts w:ascii="Arial" w:hAnsi="Arial" w:cs="Arial"/>
          <w:b/>
          <w:bCs/>
        </w:rPr>
        <w:t>Concentrações e doses letais:</w:t>
      </w:r>
    </w:p>
    <w:p w:rsidR="003F2FDE" w:rsidRPr="00417D05" w:rsidRDefault="003F2FDE" w:rsidP="00F33D72">
      <w:pPr>
        <w:spacing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Inalação: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disponível.</w:t>
      </w:r>
    </w:p>
    <w:p w:rsidR="003F2FDE" w:rsidRPr="00417D05" w:rsidRDefault="003F2FDE" w:rsidP="00F33D72">
      <w:pPr>
        <w:spacing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Pele</w:t>
      </w:r>
      <w:r w:rsidRPr="00417D05">
        <w:rPr>
          <w:rFonts w:ascii="Arial" w:hAnsi="Arial" w:cs="Arial"/>
          <w:bCs/>
        </w:rPr>
        <w:t xml:space="preserve">: </w:t>
      </w:r>
      <w:r w:rsidRPr="00417D05">
        <w:rPr>
          <w:rFonts w:ascii="Arial" w:hAnsi="Arial" w:cs="Arial"/>
        </w:rPr>
        <w:t>Não disponível.</w:t>
      </w:r>
    </w:p>
    <w:p w:rsidR="003F2FDE" w:rsidRPr="00417D05" w:rsidRDefault="003F2FDE" w:rsidP="00F33D72">
      <w:pPr>
        <w:spacing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Ingestão: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Não disponível.</w:t>
      </w:r>
    </w:p>
    <w:p w:rsidR="003F2FDE" w:rsidRPr="00417D05" w:rsidRDefault="003F2FDE" w:rsidP="003F2FDE">
      <w:pPr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12. INFORMAÇÕES ECOLÓGICAS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Ar: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Em informações normais não causa danos ao meio ambiente.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Água: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O produto não é considerado passível de causar danos à vida aquática.</w:t>
      </w:r>
    </w:p>
    <w:p w:rsidR="003F2FDE" w:rsidRPr="00417D05" w:rsidRDefault="003F2FDE" w:rsidP="00F33D72">
      <w:pPr>
        <w:spacing w:before="0" w:beforeAutospacing="0" w:after="0"/>
        <w:rPr>
          <w:rFonts w:ascii="Arial" w:hAnsi="Arial" w:cs="Arial"/>
        </w:rPr>
      </w:pPr>
      <w:r w:rsidRPr="00417D05">
        <w:rPr>
          <w:rFonts w:ascii="Arial" w:hAnsi="Arial" w:cs="Arial"/>
          <w:b/>
          <w:bCs/>
        </w:rPr>
        <w:t>Solo:</w:t>
      </w:r>
      <w:r w:rsidRPr="00417D05">
        <w:rPr>
          <w:rFonts w:ascii="Arial" w:hAnsi="Arial" w:cs="Arial"/>
          <w:bCs/>
        </w:rPr>
        <w:t xml:space="preserve"> </w:t>
      </w:r>
      <w:r w:rsidRPr="00417D05">
        <w:rPr>
          <w:rFonts w:ascii="Arial" w:hAnsi="Arial" w:cs="Arial"/>
        </w:rPr>
        <w:t>O produto é absolutamente biodegradável e não é considerado passível de causar danos ao solo.</w:t>
      </w:r>
    </w:p>
    <w:p w:rsidR="003F2FDE" w:rsidRPr="00417D05" w:rsidRDefault="003F2FDE" w:rsidP="003F2FDE">
      <w:pPr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13. CONSIDERAÇÕES SOBRE O TRATAMENTO E A DISPOSIÇÃO</w:t>
      </w:r>
    </w:p>
    <w:p w:rsidR="003F2FDE" w:rsidRPr="00417D05" w:rsidRDefault="003F2FDE" w:rsidP="003F2FDE">
      <w:pPr>
        <w:rPr>
          <w:rFonts w:ascii="Arial" w:hAnsi="Arial" w:cs="Arial"/>
          <w:bCs/>
        </w:rPr>
      </w:pPr>
      <w:r w:rsidRPr="00417D05">
        <w:rPr>
          <w:rFonts w:ascii="Arial" w:hAnsi="Arial" w:cs="Arial"/>
          <w:b/>
          <w:bCs/>
        </w:rPr>
        <w:t>Tratamento/Disposição final:</w:t>
      </w:r>
      <w:r w:rsidRPr="00417D05">
        <w:rPr>
          <w:rFonts w:ascii="Arial" w:hAnsi="Arial" w:cs="Arial"/>
          <w:bCs/>
        </w:rPr>
        <w:t xml:space="preserve"> Sempre que possível, reciclar o material recuperado. O resíduo deve ser descartado de acordo com as regulamentações ambientais locais.</w:t>
      </w:r>
    </w:p>
    <w:p w:rsidR="003F2FDE" w:rsidRPr="00417D05" w:rsidRDefault="003F2FDE" w:rsidP="003F2FDE">
      <w:pPr>
        <w:rPr>
          <w:rFonts w:ascii="Arial" w:hAnsi="Arial" w:cs="Arial"/>
          <w:b/>
          <w:bCs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14. INFORMAÇÕES SOBRE TRANSPORTES</w:t>
      </w:r>
    </w:p>
    <w:p w:rsidR="003F2FDE" w:rsidRPr="00417D05" w:rsidRDefault="003F2FDE" w:rsidP="003F2FDE">
      <w:pPr>
        <w:rPr>
          <w:rFonts w:ascii="Arial" w:hAnsi="Arial" w:cs="Arial"/>
          <w:bCs/>
        </w:rPr>
      </w:pPr>
      <w:r w:rsidRPr="00417D05">
        <w:rPr>
          <w:rFonts w:ascii="Arial" w:hAnsi="Arial" w:cs="Arial"/>
          <w:bCs/>
        </w:rPr>
        <w:t>O produto é classificado como um produto não perigoso.</w:t>
      </w:r>
    </w:p>
    <w:p w:rsidR="003F2FDE" w:rsidRPr="00417D05" w:rsidRDefault="003F2FDE" w:rsidP="003F2FDE">
      <w:pPr>
        <w:rPr>
          <w:rFonts w:ascii="Arial" w:hAnsi="Arial" w:cs="Arial"/>
          <w:b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15. REGULAMENTAÇÕES</w:t>
      </w:r>
    </w:p>
    <w:p w:rsidR="003F2FDE" w:rsidRPr="00417D05" w:rsidRDefault="003F2FDE" w:rsidP="003F2FDE">
      <w:pPr>
        <w:rPr>
          <w:rFonts w:ascii="Arial" w:hAnsi="Arial" w:cs="Arial"/>
          <w:bCs/>
        </w:rPr>
      </w:pPr>
      <w:r w:rsidRPr="00417D05">
        <w:rPr>
          <w:rFonts w:ascii="Arial" w:hAnsi="Arial" w:cs="Arial"/>
          <w:bCs/>
        </w:rPr>
        <w:lastRenderedPageBreak/>
        <w:t>Produto não perigoso, de acordo com a lei 96044 de 08/05/1988, complementada pela lei 291 de 31/05/1998, o qual ajustou instruções adicionais para a lei de transportes de produtos perigosos, de acordo com o Ministério de Transportes do Brasil.</w:t>
      </w: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</w:p>
    <w:p w:rsidR="003F2FDE" w:rsidRPr="00417D05" w:rsidRDefault="003F2FDE" w:rsidP="003F2FDE">
      <w:pPr>
        <w:rPr>
          <w:rFonts w:ascii="Arial" w:hAnsi="Arial" w:cs="Arial"/>
          <w:b/>
          <w:sz w:val="24"/>
          <w:szCs w:val="24"/>
        </w:rPr>
      </w:pPr>
      <w:r w:rsidRPr="00417D05">
        <w:rPr>
          <w:rFonts w:ascii="Arial" w:hAnsi="Arial" w:cs="Arial"/>
          <w:b/>
          <w:sz w:val="24"/>
          <w:szCs w:val="24"/>
        </w:rPr>
        <w:t>16. OUTRAS INFORMAÇÕES</w:t>
      </w:r>
    </w:p>
    <w:p w:rsidR="003F2FDE" w:rsidRPr="00417D05" w:rsidRDefault="003F2FDE" w:rsidP="003F2FDE">
      <w:pPr>
        <w:rPr>
          <w:rFonts w:ascii="Arial" w:hAnsi="Arial" w:cs="Arial"/>
        </w:rPr>
      </w:pPr>
      <w:proofErr w:type="spellStart"/>
      <w:r w:rsidRPr="00417D05">
        <w:rPr>
          <w:rFonts w:ascii="Arial" w:hAnsi="Arial" w:cs="Arial"/>
          <w:bCs/>
        </w:rPr>
        <w:t>Obs</w:t>
      </w:r>
      <w:proofErr w:type="spellEnd"/>
      <w:r w:rsidRPr="00417D05">
        <w:rPr>
          <w:rFonts w:ascii="Arial" w:hAnsi="Arial" w:cs="Arial"/>
          <w:bCs/>
        </w:rPr>
        <w:t>:</w:t>
      </w:r>
      <w:r w:rsidRPr="00417D05">
        <w:rPr>
          <w:rFonts w:ascii="Arial" w:hAnsi="Arial" w:cs="Arial"/>
        </w:rPr>
        <w:t xml:space="preserve"> Não necessita envelope de emergência, por não se enquadrar na portaria em vigor sobre transporte de produtos perigosos.</w:t>
      </w:r>
    </w:p>
    <w:p w:rsidR="003F2FDE" w:rsidRPr="00417D05" w:rsidRDefault="003F2FDE" w:rsidP="003F2FDE">
      <w:pPr>
        <w:rPr>
          <w:rFonts w:ascii="Arial" w:hAnsi="Arial" w:cs="Arial"/>
        </w:rPr>
      </w:pPr>
      <w:r w:rsidRPr="00417D05">
        <w:rPr>
          <w:rFonts w:ascii="Arial" w:hAnsi="Arial" w:cs="Arial"/>
          <w:bCs/>
        </w:rPr>
        <w:t xml:space="preserve">Nota: </w:t>
      </w:r>
      <w:r w:rsidRPr="00417D05">
        <w:rPr>
          <w:rFonts w:ascii="Arial" w:hAnsi="Arial" w:cs="Arial"/>
        </w:rPr>
        <w:t>As informações aqui contidas quanto às providências a serem tomadas em caso de emergência, no manuseio e armazenamento do produto, são somente para sua orientação e fornecidas de boa fé, não significando, porém, que esgotem totalmente o assunto, e não isentam os usuários de suas responsabilidades pelo referido manuseio e armazenamento, nem implicam, implícita ou explicitamente.</w:t>
      </w:r>
    </w:p>
    <w:p w:rsidR="003F2FDE" w:rsidRPr="00417D05" w:rsidRDefault="003F2FDE" w:rsidP="003F2FDE">
      <w:pPr>
        <w:spacing w:before="0"/>
        <w:rPr>
          <w:rFonts w:ascii="Arial" w:hAnsi="Arial" w:cs="Arial"/>
        </w:rPr>
      </w:pPr>
    </w:p>
    <w:p w:rsidR="003F2FDE" w:rsidRPr="00417D05" w:rsidRDefault="003F2FDE" w:rsidP="003F2FDE">
      <w:pPr>
        <w:spacing w:before="120" w:line="360" w:lineRule="auto"/>
        <w:rPr>
          <w:rFonts w:ascii="Arial" w:hAnsi="Arial" w:cs="Arial"/>
          <w:iCs/>
          <w:szCs w:val="24"/>
        </w:rPr>
      </w:pPr>
    </w:p>
    <w:p w:rsidR="009A7D7B" w:rsidRPr="00417D05" w:rsidRDefault="009A7D7B" w:rsidP="003F2FDE">
      <w:pPr>
        <w:rPr>
          <w:rFonts w:ascii="Arial" w:hAnsi="Arial" w:cs="Arial"/>
        </w:rPr>
      </w:pPr>
    </w:p>
    <w:sectPr w:rsidR="009A7D7B" w:rsidRPr="00417D05" w:rsidSect="007D033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F2" w:rsidRDefault="00456BF2" w:rsidP="007D033B">
      <w:pPr>
        <w:spacing w:before="0" w:after="0" w:line="240" w:lineRule="auto"/>
      </w:pPr>
      <w:r>
        <w:separator/>
      </w:r>
    </w:p>
  </w:endnote>
  <w:endnote w:type="continuationSeparator" w:id="0">
    <w:p w:rsidR="00456BF2" w:rsidRDefault="00456BF2" w:rsidP="007D03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F2" w:rsidRDefault="00456BF2" w:rsidP="007D033B">
      <w:pPr>
        <w:spacing w:before="0" w:after="0" w:line="240" w:lineRule="auto"/>
      </w:pPr>
      <w:r>
        <w:separator/>
      </w:r>
    </w:p>
  </w:footnote>
  <w:footnote w:type="continuationSeparator" w:id="0">
    <w:p w:rsidR="00456BF2" w:rsidRDefault="00456BF2" w:rsidP="007D03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staClara-nfase5"/>
      <w:tblW w:w="0" w:type="auto"/>
      <w:tblLayout w:type="fixed"/>
      <w:tblLook w:val="0000" w:firstRow="0" w:lastRow="0" w:firstColumn="0" w:lastColumn="0" w:noHBand="0" w:noVBand="0"/>
    </w:tblPr>
    <w:tblGrid>
      <w:gridCol w:w="3405"/>
      <w:gridCol w:w="5145"/>
      <w:gridCol w:w="2057"/>
    </w:tblGrid>
    <w:tr w:rsidR="00C82D4D" w:rsidTr="00F202C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89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405" w:type="dxa"/>
        </w:tcPr>
        <w:p w:rsidR="00C82D4D" w:rsidRDefault="00C82D4D" w:rsidP="0017674F">
          <w:pPr>
            <w:pStyle w:val="Rodap"/>
            <w:snapToGrid w:val="0"/>
            <w:rPr>
              <w:rFonts w:ascii="Times New Roman" w:hAnsi="Times New Roman"/>
              <w:b/>
              <w:sz w:val="24"/>
              <w:szCs w:val="24"/>
            </w:rPr>
          </w:pPr>
          <w:r w:rsidRPr="00F202C4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862913" cy="701749"/>
                <wp:effectExtent l="19050" t="0" r="3987" b="0"/>
                <wp:docPr id="6" name="Imagem 4" descr="image0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r="68029" b="5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160" cy="704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vAlign w:val="center"/>
        </w:tcPr>
        <w:p w:rsidR="00C82D4D" w:rsidRDefault="00C82D4D" w:rsidP="00C82D4D">
          <w:pPr>
            <w:pStyle w:val="Rodap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FICHA DE INFORMAÇÃO DE PRODUTOS QUÍMICOS – ONOESTEARATO DE GLICERINA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057" w:type="dxa"/>
          <w:vAlign w:val="center"/>
        </w:tcPr>
        <w:p w:rsidR="00C82D4D" w:rsidRDefault="00C82D4D" w:rsidP="00F202C4">
          <w:pPr>
            <w:pStyle w:val="Rodap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FISPQ - XXX</w:t>
          </w:r>
        </w:p>
        <w:p w:rsidR="00C82D4D" w:rsidRDefault="00C82D4D" w:rsidP="00F202C4">
          <w:pPr>
            <w:pStyle w:val="Rodap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9A60BE"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PAGE </w:instrText>
          </w:r>
          <w:r w:rsidR="009A60BE">
            <w:rPr>
              <w:rFonts w:cs="Arial"/>
              <w:b/>
            </w:rPr>
            <w:fldChar w:fldCharType="separate"/>
          </w:r>
          <w:r w:rsidR="00540C1C">
            <w:rPr>
              <w:rFonts w:cs="Arial"/>
              <w:b/>
              <w:noProof/>
            </w:rPr>
            <w:t>5</w:t>
          </w:r>
          <w:r w:rsidR="009A60BE">
            <w:rPr>
              <w:rFonts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9A60BE"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NUMPAGES \*Arabic </w:instrText>
          </w:r>
          <w:r w:rsidR="009A60BE">
            <w:rPr>
              <w:rFonts w:cs="Arial"/>
              <w:b/>
            </w:rPr>
            <w:fldChar w:fldCharType="separate"/>
          </w:r>
          <w:r w:rsidR="00540C1C">
            <w:rPr>
              <w:rFonts w:cs="Arial"/>
              <w:b/>
              <w:noProof/>
            </w:rPr>
            <w:t>5</w:t>
          </w:r>
          <w:r w:rsidR="009A60BE">
            <w:rPr>
              <w:rFonts w:cs="Arial"/>
              <w:b/>
            </w:rPr>
            <w:fldChar w:fldCharType="end"/>
          </w:r>
        </w:p>
        <w:p w:rsidR="00C82D4D" w:rsidRDefault="00C82D4D" w:rsidP="009A7D7B">
          <w:pPr>
            <w:pStyle w:val="Rodap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Emissão 18/08/2020</w:t>
          </w:r>
        </w:p>
      </w:tc>
    </w:tr>
  </w:tbl>
  <w:p w:rsidR="00C82D4D" w:rsidRDefault="00C82D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3B"/>
    <w:rsid w:val="00133507"/>
    <w:rsid w:val="00155E67"/>
    <w:rsid w:val="0017674F"/>
    <w:rsid w:val="00225826"/>
    <w:rsid w:val="00355DA9"/>
    <w:rsid w:val="003A5833"/>
    <w:rsid w:val="003F2FDE"/>
    <w:rsid w:val="00417D05"/>
    <w:rsid w:val="00440506"/>
    <w:rsid w:val="00456BF2"/>
    <w:rsid w:val="00540C1C"/>
    <w:rsid w:val="00697885"/>
    <w:rsid w:val="006C2C9B"/>
    <w:rsid w:val="007D033B"/>
    <w:rsid w:val="008D4526"/>
    <w:rsid w:val="00940D3B"/>
    <w:rsid w:val="009A60BE"/>
    <w:rsid w:val="009A7D7B"/>
    <w:rsid w:val="00A036B5"/>
    <w:rsid w:val="00AB7C30"/>
    <w:rsid w:val="00C24B1E"/>
    <w:rsid w:val="00C73C07"/>
    <w:rsid w:val="00C82D4D"/>
    <w:rsid w:val="00D21D00"/>
    <w:rsid w:val="00E83EBC"/>
    <w:rsid w:val="00F202C4"/>
    <w:rsid w:val="00F3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B0681-C634-406A-99F5-632EBB5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2C4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D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33B"/>
  </w:style>
  <w:style w:type="paragraph" w:styleId="Rodap">
    <w:name w:val="footer"/>
    <w:basedOn w:val="Normal"/>
    <w:link w:val="RodapChar"/>
    <w:unhideWhenUsed/>
    <w:rsid w:val="007D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33B"/>
  </w:style>
  <w:style w:type="paragraph" w:styleId="Textodebalo">
    <w:name w:val="Balloon Text"/>
    <w:basedOn w:val="Normal"/>
    <w:link w:val="TextodebaloChar"/>
    <w:uiPriority w:val="99"/>
    <w:semiHidden/>
    <w:unhideWhenUsed/>
    <w:rsid w:val="007D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3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7D03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adeClara-nfase11">
    <w:name w:val="Grade Clara - Ênfase 11"/>
    <w:basedOn w:val="Tabelanormal"/>
    <w:uiPriority w:val="62"/>
    <w:rsid w:val="00F2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5">
    <w:name w:val="Medium Shading 1 Accent 5"/>
    <w:basedOn w:val="Tabelanormal"/>
    <w:uiPriority w:val="63"/>
    <w:rsid w:val="00F2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olorido-nfase5">
    <w:name w:val="Colorful Shading Accent 5"/>
    <w:basedOn w:val="Tabelanormal"/>
    <w:uiPriority w:val="71"/>
    <w:rsid w:val="00F2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5">
    <w:name w:val="Light List Accent 5"/>
    <w:basedOn w:val="Tabelanormal"/>
    <w:uiPriority w:val="61"/>
    <w:rsid w:val="00F2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Fontepargpadro"/>
    <w:rsid w:val="00F202C4"/>
    <w:rPr>
      <w:color w:val="0000FF"/>
      <w:u w:val="single"/>
    </w:rPr>
  </w:style>
  <w:style w:type="paragraph" w:customStyle="1" w:styleId="Default">
    <w:name w:val="Default"/>
    <w:rsid w:val="00540C1C"/>
    <w:pPr>
      <w:autoSpaceDE w:val="0"/>
      <w:autoSpaceDN w:val="0"/>
      <w:adjustRightInd w:val="0"/>
      <w:spacing w:before="0" w:beforeAutospacing="0"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office365 </cp:lastModifiedBy>
  <cp:revision>2</cp:revision>
  <cp:lastPrinted>2020-08-18T19:18:00Z</cp:lastPrinted>
  <dcterms:created xsi:type="dcterms:W3CDTF">2021-07-14T11:26:00Z</dcterms:created>
  <dcterms:modified xsi:type="dcterms:W3CDTF">2021-07-14T11:26:00Z</dcterms:modified>
</cp:coreProperties>
</file>